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</w:p>
    <w:p>
      <w:pPr>
        <w:spacing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各辖区经营性人力资源服务机构等级评定比例分配</w:t>
      </w:r>
    </w:p>
    <w:p>
      <w:pPr>
        <w:spacing w:line="60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-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923"/>
        <w:gridCol w:w="2132"/>
        <w:gridCol w:w="2132"/>
        <w:gridCol w:w="2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县区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eastAsia="zh-CN"/>
              </w:rPr>
              <w:t>提交2022年度经营情况报告机构数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</w:rPr>
              <w:t>≤A级机构数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70%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</w:rPr>
              <w:t>≤AA机构数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</w:rPr>
              <w:t>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肥东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肥西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长丰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庐江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eastAsia="zh-CN"/>
              </w:rPr>
              <w:t>巢湖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瑶海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庐阳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136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蜀山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178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包河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86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高新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经开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221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新站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安巢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928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??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83F2B"/>
    <w:rsid w:val="7FF8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Times New Roman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eastAsia="Times New Roman"/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2023-09-05T09:38:00Z</dcterms:created>
  <dc:creator>闵凌霄</dc:creator>
  <cp:lastModifiedBy>闵凌霄</cp:lastModifiedBy>
  <dcterms:modified xsi:type="dcterms:W3CDTF">2023-09-05T09:39:27Z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C5D1F30019AB3798AB86F664E11A76FD_41</vt:lpwstr>
  </property>
</Properties>
</file>