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附件5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合肥市人力资源服务机构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星级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评价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eastAsia="zh-CN" w:bidi="ar"/>
        </w:rPr>
        <w:t>自评表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（单项）</w:t>
      </w:r>
    </w:p>
    <w:p>
      <w:pPr>
        <w:spacing w:line="580" w:lineRule="exact"/>
        <w:jc w:val="left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4"/>
          <w:szCs w:val="24"/>
          <w:shd w:val="clear" w:color="auto" w:fill="auto"/>
          <w:lang w:bidi="ar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>填表机构（盖章）：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n-US" w:eastAsia="zh-CN"/>
        </w:rPr>
        <w:t xml:space="preserve"> </w:t>
      </w:r>
    </w:p>
    <w:tbl>
      <w:tblPr>
        <w:tblStyle w:val="2"/>
        <w:tblW w:w="14634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982"/>
        <w:gridCol w:w="4628"/>
        <w:gridCol w:w="5396"/>
      </w:tblGrid>
      <w:tr>
        <w:trPr>
          <w:trHeight w:val="4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  <w:t>项目类别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  <w:t>指标描述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自评情况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提供台账及考评方式</w:t>
            </w:r>
          </w:p>
        </w:tc>
      </w:tr>
      <w:tr>
        <w:trPr>
          <w:trHeight w:val="7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职业介绍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（60分）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年度职业介绍成功人次（30分）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1.2021年度职业介绍成功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2.2022年度职业介绍成功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2021、2022年职业介绍成功总人数计分，2023年1-8月职业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成功人次仅作为参考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提供2021年度、2022年度、2023年1-8月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职业介绍台账（包含服务企业名称，每家职业介绍成功人数和学历、年龄分布等信息）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</w:p>
        </w:tc>
      </w:tr>
      <w:tr>
        <w:trPr>
          <w:trHeight w:val="7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招聘渠道建设状况、招聘及服务人次（30分）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有线下招聘场所、招聘渠道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2.举办农民工专场/大学生专场/公益性岗位专场等招聘会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运营有影响力的招聘网站/APP/小程序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4.服务求职人员达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如存在上述情况，请自行勾选、填写，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 xml:space="preserve">2021、2022年年均职业介绍成功人次计分，2023年1-8月服务人数仅作为参考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1.提供线下招聘场所、招聘渠道图片、文字介绍（300字以内）等证明材料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2.提供农民工、大学生、公益性岗位专场招聘会台账、图片等证明材料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3.提供招聘网站/APP/小程序截图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4.求职人员登记台账等证明材料</w:t>
            </w:r>
          </w:p>
        </w:tc>
      </w:tr>
      <w:tr>
        <w:trPr>
          <w:trHeight w:val="1353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人力资源服务外包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（60分）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</w:rPr>
              <w:t>年外包成功人次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1.2021年外包成功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2.2022年外包成功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2021、2022年外包成功总人数计分，2023年1-8月外包成功人次仅作为参考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服务外包台账（包含服务企业名称、外包项目名称、每家企业外包项目员工人数和工作期限等信息，其中工作期限按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3个月以内、3个月以上2年以下、2年以上分成3类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</w:tr>
      <w:tr>
        <w:trPr>
          <w:trHeight w:val="1229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外包员工工作持续性（30分）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连续工作3个月以上的人数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次，自评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</w:p>
        </w:tc>
        <w:tc>
          <w:tcPr>
            <w:tcW w:w="5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</w:p>
        </w:tc>
      </w:tr>
      <w:tr>
        <w:trPr>
          <w:trHeight w:val="1026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人力资源测评（60分）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采用笔试、面试技术，进行选拔性测评，每年服务的人次（30分）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1.2021年测评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2.2022年测评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2021、2022年选拔性测评总人数计分，2023年1-8月测评人次仅作为参考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测评服务台账（包含服务单位、测评方式和各类测评方式的具体测评人数等信息）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2.有独立测评场地、自行开发测评软件或程序、创新测评工具或方式等，提供相关介绍和证明材料</w:t>
            </w:r>
          </w:p>
        </w:tc>
      </w:tr>
      <w:tr>
        <w:trPr>
          <w:trHeight w:val="841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采用量表、评价中心等测评技术进行的开发性测评、诊断性测评、考核性测评，每年服务的人次（20分）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1.2021年测评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2.2022年测评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2021、2022年开发性、诊断性、考核性测评总人数计分，2023年1-8月测评人次仅作为参考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</w:tr>
      <w:tr>
        <w:trPr>
          <w:trHeight w:val="857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维护测评公正性，不得有歧视或不公正现象（10分）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选拔性测评中，出现就业歧视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各类测评中出现不公正现象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（如存在上述情况，请自行填写）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本项主要由所在辖区人社部门根据日常掌握情况核实。</w:t>
            </w:r>
          </w:p>
        </w:tc>
      </w:tr>
      <w:tr>
        <w:trPr>
          <w:trHeight w:val="1570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人力资源培训（60分）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年度培训人次（30分）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1.2021年培训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2.2022年培训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人力资源培训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总人数计分，2023年1-8月培训人次仅作为参考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人力资源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培训台账（包含培训名称、培训场次、培训人次等信息）</w:t>
            </w:r>
          </w:p>
        </w:tc>
      </w:tr>
      <w:tr>
        <w:trPr>
          <w:trHeight w:val="1463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有自主设计培训方案及课程开发、执行的能力，核心培训课程的自有师资力量占比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个培训收入占比20%以上的核心培训课程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2培训部门员工共有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人，其中开发、执行核心培训课程的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自有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专业师资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人，占培训部门员工总数的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1.提供自主涉及培训方案和课程简介等证明材料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2.提供核心培训课程师资情况证明材料（培训讲师简介等）</w:t>
            </w:r>
          </w:p>
        </w:tc>
      </w:tr>
      <w:tr>
        <w:trPr>
          <w:trHeight w:val="946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高级人才寻访（60分）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通过猎头/RPO业务，年度为合肥市成功寻访人数（30分）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1.2021年成功寻访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2.2022年成功寻访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</w:rPr>
              <w:t>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2021、2022年通过猎头/RPO成功寻访总人数计分，2023年1-8月寻访人次仅作为参考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高级人才寻访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台账（包含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服务机构、猎头人数、猎头岗位基本情况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等信息）</w:t>
            </w:r>
          </w:p>
        </w:tc>
      </w:tr>
      <w:tr>
        <w:trPr>
          <w:trHeight w:val="814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猎头/RPO业务的高级人才数据库建设、招才引智活动开展等情况（20分）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自有高级人才数据库达“万级”，得10分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配合招才引智活动，新开辟高级人才引进渠道，得5分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在招聘的人才数量中，猎头占比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（如存在上述情况，请自行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勾选、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填写）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提供数据库、招才引智活动开展情况证明材料</w:t>
            </w:r>
          </w:p>
        </w:tc>
      </w:tr>
      <w:tr>
        <w:trPr>
          <w:trHeight w:val="808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在商业秘密、竞业限制、保护求职者隐私方面的职业操守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（10分）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出现违背“商业秘密、竞业限制”行为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出现泄露高级人才求职意向、隐私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（如存在上述情况，请自行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勾选、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填写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</w:tr>
      <w:tr>
        <w:trPr>
          <w:trHeight w:val="1259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人力资源管理咨询（60分）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咨询业务，年度项目合同总额（30分）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1.2021年度人力资源管理咨询项目合同金额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2022年度人力资源管理咨询项目合同金额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2021、2022年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项目合同总金额评分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人力资源管理咨询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台账（包含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项目名称、服务机构、项目金额、回款时间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等信息）</w:t>
            </w:r>
          </w:p>
        </w:tc>
      </w:tr>
      <w:tr>
        <w:trPr>
          <w:trHeight w:val="674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咨询项目应收款的回款百分比，衡量咨询项目执行的状况及满意度（30分）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应收款回款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比例为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%，自评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分（根据2021、2022年度人力资源管理咨询签约项目回款情况评分，该时间段签约项目但回款时间为2023年的，可以计入回款比例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2023年1-8月寻访人次仅作为参考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。）</w:t>
            </w:r>
          </w:p>
        </w:tc>
        <w:tc>
          <w:tcPr>
            <w:tcW w:w="5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</w:tr>
      <w:tr>
        <w:trPr>
          <w:trHeight w:val="339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  <w:t>人力资源数字化服务（60分）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人力资源数字化服务（产品）的用户数量级以及增长率，用于判断服务（产品）的市场应用状况（30分）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运营起始时间为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月，截止至2020年底用户数量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人，2021年底用户数量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人，2022年底用户数量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人，2022年底较2020年度用户数量增长率为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2022年底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用户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数量和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2022年底较2020年底用户数量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增长率计分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截止至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8月底用户数量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仅作为参考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shd w:val="clear" w:color="auto" w:fill="auto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2021年度、2022年度、2023年1-8月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人力资源数字化服务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台账（包含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项目名称、服务内容、用户人数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等信息）</w:t>
            </w:r>
          </w:p>
        </w:tc>
      </w:tr>
      <w:tr>
        <w:trPr>
          <w:trHeight w:val="83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人力资源数字化服务（或产品）应用场景的独立性，考察产品是独立运营，还是配合其他业务而存在（20分）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服务（或产品）面向外部客户提供服务，不是独立运营、无独立的盈利模式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服务（或产品）独立运营、有独立的盈利模式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（如存在上述情况，请自行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勾选、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填写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</w:tr>
      <w:tr>
        <w:trPr>
          <w:trHeight w:val="1253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在人力资源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化服务（或产品）中，应当依法履行网络安全和信息保护等义务（10分）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发布虚假求职和招聘信息，或者发布的信息中包含歧视性内容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  <w:t>对泄露、违法使用用人单位商业秘密、求职者个人信息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本项自评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  <w:shd w:val="clear" w:color="auto" w:fill="auto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（如存在上述情况，请自行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勾选、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  <w:lang w:eastAsia="zh-CN" w:bidi="ar"/>
              </w:rPr>
              <w:t>填写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shd w:val="clear" w:color="auto" w:fill="auto"/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CF84BD"/>
    <w:rsid w:val="5FFA6DD6"/>
    <w:rsid w:val="6FD624BA"/>
    <w:rsid w:val="7BF6BCBA"/>
    <w:rsid w:val="CFF1567B"/>
    <w:rsid w:val="EACF84BD"/>
    <w:rsid w:val="F7CF6FFA"/>
    <w:rsid w:val="FEDF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2023-09-06T00:47:00Z</dcterms:created>
  <dc:creator>闵凌霄</dc:creator>
  <cp:lastModifiedBy>闵凌霄</cp:lastModifiedBy>
  <dcterms:modified xsi:type="dcterms:W3CDTF">2023-09-04T10:23:11Z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72FF1D20AB5AB6753729F5641C8FFCB0_41</vt:lpwstr>
  </property>
</Properties>
</file>