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shd w:val="clear" w:color="auto" w:fill="auto"/>
          <w:lang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val="en-US" w:eastAsia="zh-CN" w:bidi="ar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  <w:t>合肥市人力资源服务机构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val="en-US" w:eastAsia="zh-CN" w:bidi="ar"/>
        </w:rPr>
        <w:t>星级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  <w:t>评价赋分标准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eastAsia="zh-CN" w:bidi="ar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val="en-US" w:eastAsia="zh-CN" w:bidi="ar"/>
        </w:rPr>
        <w:t>综合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shd w:val="clear" w:color="auto" w:fill="auto"/>
          <w:lang w:eastAsia="zh-CN" w:bidi="ar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shd w:val="clear" w:color="auto" w:fill="auto"/>
          <w:lang w:val="en-US" w:eastAsia="zh-CN" w:bidi="ar"/>
        </w:rPr>
      </w:pPr>
    </w:p>
    <w:tbl>
      <w:tblPr>
        <w:tblStyle w:val="4"/>
        <w:tblW w:w="509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90"/>
        <w:gridCol w:w="2260"/>
        <w:gridCol w:w="3777"/>
      </w:tblGrid>
      <w:tr>
        <w:trPr>
          <w:trHeight w:val="489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一级指标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二级指标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指标描述</w:t>
            </w:r>
          </w:p>
        </w:tc>
        <w:tc>
          <w:tcPr>
            <w:tcW w:w="2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评分标准</w:t>
            </w:r>
          </w:p>
        </w:tc>
      </w:tr>
      <w:tr>
        <w:trPr>
          <w:trHeight w:val="312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基本要素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（20分）</w:t>
            </w: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经营年限（2分）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依法存在并开展人力资源服务业务满一定年限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1.开展业务满5年，得2分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2.开展业务不满5年，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1分</w:t>
            </w: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场所设施及信息公示（3分）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拥有与开展业务相适应的场所、设施和规章制度；公示营业执照、许可证、主管部门监督投诉电话、服务费用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情况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符合要求得3分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1.有和业务相适应的场所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设施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2.有健全的规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制度，得1分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3.证照等需要公示的信息齐全，得1分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员工规模（5分）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专职员工人数规模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专职员工人数：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1.3-9人，得1分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2.10-49人，得3分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人及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以上，得5分</w:t>
            </w: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员工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（5分）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专职员工学历构成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以上学历不低于40%，得1分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以上学历不低于50%，得2分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以上学历不低于60%，得3分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4.本科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以上学历不低于70%，得5分</w:t>
            </w: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员工技能（5分）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专职员工职业资格、职业技能等级或专业技术资格持证情况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专职员工持有证书率：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1.达40%，得1分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2.达50%，得2分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3.达60%，得3分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4.达70%，得5分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信用要素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（20分）</w:t>
            </w: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信用管理（5分）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为每位员工建立诚信档案、开展诚信活动、签订诚信服务承诺书情况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1.符合要求得5分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2.未建立员工诚信档案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扣2分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3.未开展诚信活动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扣1分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4.员工未接受诚信教育活动和签署诚信服务承诺书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用工情况（10分）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含派遣、外包员工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员工签订劳动合同率、员工社会保险缴纳率及保障员工合法权益的情况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员工签订劳动合同率或社会保险缴纳率达不到100%的，扣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2.有其他侵犯员工合法权益行为的，每存在一项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扣2分，扣完为止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客户权益（5分）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客户有较高的满意度，无侵害客户合法权益的不良记录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1.评价年度内，有经判决、裁定认定为诉讼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仲裁中承担责任当事人一方记录的，有一项扣2分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消极履行的，扣3分，扣完为止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缺少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客户对企业评价调查表，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扣2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客户满意度不到90%，扣1分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管理要素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0分）</w:t>
            </w: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服务规范（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建立从业人员服务准则、项目服务标准（流程）、服务记录、服务质量跟踪反馈等制度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1.未建立从业人员服务准则，扣5分；有准则，不具有操作性，扣3分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2.未建立服务标准（流程），扣5分；有标准，不具有操作性，扣3分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3.未建立服务记录，扣5分；不全面，扣3分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4.未建立服务质量跟踪反馈，扣5分；不全面，扣3分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1219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招聘规范（15分）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未出现发布不实招聘信息、通过不正当手段揽工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吸工、抢工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虚高宣传工价（服务费）、组织劳动者非正常频繁更换用人单位、拖欠或克扣劳动者工资、哄抬市场价格、扣押劳动者证件（物品）、收取押金等情况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符合要求得15分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2.每出现一次投诉扣2分，直至扣完为止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3.投诉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一次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被核实的，扣5分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直至扣完为止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4.情节较严重的扣10分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直至扣完为止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情节恶劣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的扣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30分，直至扣完为止</w:t>
            </w:r>
          </w:p>
        </w:tc>
      </w:tr>
      <w:tr>
        <w:trPr>
          <w:trHeight w:val="283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驻企管理（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分）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落实短期用工服务相关合同（协议）签订和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向辖区人社部门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备案情况 ；落实驻企管理、安全生产以及疫情防控措施等情况</w:t>
            </w:r>
          </w:p>
        </w:tc>
        <w:tc>
          <w:tcPr>
            <w:tcW w:w="2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1.短期用工服务未签订合同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协议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的，扣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2.短期用工服务合同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协议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未备案的，扣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 xml:space="preserve">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3.未落实相关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制度，造成不良影响的，出现一起扣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发展要素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（60分）</w:t>
            </w: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经营状况（16分）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近2年年均营业收入情况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（年营业收入是指人力资源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业务营业收入）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近2年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年均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营业收入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评分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超50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万，得1分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2.超10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万，得2分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万，得4分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4.超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00万，得6分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5.超1000万，得8分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近2年年均纳税情况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（不含代收代付部分）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纳税额度评分：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0万，得2分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0万，得3分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00万，得4分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4.超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万，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 xml:space="preserve">5分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万及其以上，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6分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6.上一年纳税信用评价为B级的纳税人，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加1分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7.上一年度纳税评价为A级的纳税人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加2分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发展能力（8分）</w:t>
            </w: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机构近2年资本增值的能力（由经营收入增长率、主营业务利润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增长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率、纳税总额增长率三项判断）</w:t>
            </w:r>
          </w:p>
        </w:tc>
        <w:tc>
          <w:tcPr>
            <w:tcW w:w="2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近2年：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项指标正增长，得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.2项指标正增长，得2分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.3项指标正增长，得4分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.3项指标正增长率平均在5%以上，得6分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.3项指标正增长率平均在10%以上，得8分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业务规模（15分）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年度提供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职业介绍（派遣、外包员工）、人才培训、人才测评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等服务人数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开展高级人才寻访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情况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年服务人数：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1.500人（含）以内，得1分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500-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1000人（含），得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.1000-3000人（含），得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.3000-5000人（含），得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.5000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以上，得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引进高层次人才最高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得5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引进1名副高以上职称（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年薪30万以上的企业高管、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高级技师）或博士学位的，得2分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引进本科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以上毕业生10人，得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业务种类（5分）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提供多元化服务项目情况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开展1类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2类、3类、4类、5类及以上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业务，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分别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得1分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2分、3分、4分、5分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企业规模（6分）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评价企业设立分支机构及其跨行业发展情况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1.设立1家分支机构，得1分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2.设立2家分支机构，得1.5分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3.设立3家及以上分支机构，得2分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4.分支机构跨市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另得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跨省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另得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5.跨行业综合发展，得2分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创新力（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企业品牌创立、服务或产品创新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数字化或信息化技术运用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以及创新团队建立等情况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有特色品牌，得1分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2.有创新服务项目或产品，得2分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3.有研究发展团队，得2分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4.设立人力资源发展研究机构等，得3分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5.有信息化或数字化技术运用手段的，得3分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最高不超过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  <w:t>主营业务（4分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  <w:t>人力资源服务的业务收入占本机构年度营业收入的比重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  <w:t>1.20%-40%（含），得1分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  <w:t>2.40%-60%（含），得2分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  <w:t>3.60%-80%（含），得3分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  <w:t>4.80%以上，得4分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社会贡献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（10分）</w:t>
            </w: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公益活动（5分）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参与社会公益活动情况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开展公益活动：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1.举办招聘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1场，得0.5分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2.举办招聘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以上，得1分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3.举办培训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或职业指导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1场以上，得1分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参与乡村振兴项目对接会等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，得1分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5.参与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以上行政部门组织促进社会就业等公益活动，得2分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最高不超过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荣誉表彰（5分）</w:t>
            </w:r>
          </w:p>
        </w:tc>
        <w:tc>
          <w:tcPr>
            <w:tcW w:w="1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获得政府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有关部门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或者政府授权的行业、组织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表彰的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各类荣誉</w:t>
            </w:r>
          </w:p>
        </w:tc>
        <w:tc>
          <w:tcPr>
            <w:tcW w:w="2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近2年：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1.每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获得县区荣誉或者行业荣誉1项，得1分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2.每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获得省、市级荣誉1项，得2分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3.每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获得国家级荣誉1项，得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同类荣誉只计最高项，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各类荣誉可以累计，最高不超过5分</w:t>
            </w: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312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加分项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（10分）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企业设立党团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工会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行业标准，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成功上市，开展管理咨询业务及其他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被认定为可加分事项</w:t>
            </w:r>
          </w:p>
        </w:tc>
        <w:tc>
          <w:tcPr>
            <w:tcW w:w="2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设立党团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或工会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组织，得2分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行业标准（市级，得1分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省级及以上，得2分）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本地独立法人性质企业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成功上市，得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开展管理咨询业务及其他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被认定为加分项的（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每项得2分，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4分）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最高不超过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BF4E02"/>
    <w:rsid w:val="399B86E5"/>
    <w:rsid w:val="6737BF70"/>
    <w:rsid w:val="DAB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2023-09-05T00:42:00Z</dcterms:created>
  <dc:creator>闵凌霄</dc:creator>
  <cp:lastModifiedBy>闵凌霄</cp:lastModifiedBy>
  <dcterms:modified xsi:type="dcterms:W3CDTF">2023-09-04T10:20:49Z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D52E30A989FCD695D827F564FE9A8668_41</vt:lpwstr>
  </property>
</Properties>
</file>