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黑体" w:hAnsi="黑体" w:eastAsia="黑体" w:cs="黑体"/>
          <w:b w:val="0"/>
          <w:bCs w:val="0"/>
          <w:sz w:val="32"/>
          <w:szCs w:val="32"/>
        </w:rPr>
      </w:pPr>
      <w:bookmarkStart w:id="0" w:name="_GoBack"/>
      <w:r>
        <w:rPr>
          <w:rFonts w:hint="eastAsia" w:ascii="黑体" w:hAnsi="黑体" w:eastAsia="黑体" w:cs="黑体"/>
          <w:b w:val="0"/>
          <w:bCs w:val="0"/>
          <w:sz w:val="32"/>
          <w:szCs w:val="32"/>
        </w:rPr>
        <w:t>主要指标解释</w:t>
      </w:r>
    </w:p>
    <w:bookmarkEnd w:id="0"/>
    <w:p>
      <w:pPr>
        <w:adjustRightInd w:val="0"/>
        <w:snapToGrid w:val="0"/>
        <w:spacing w:line="400" w:lineRule="exact"/>
        <w:ind w:firstLine="422" w:firstLineChars="200"/>
        <w:outlineLvl w:val="0"/>
        <w:rPr>
          <w:rFonts w:ascii="宋体" w:hAnsi="宋体"/>
          <w:b/>
          <w:bCs/>
          <w:szCs w:val="21"/>
        </w:rPr>
      </w:pPr>
      <w:r>
        <w:rPr>
          <w:rFonts w:hint="eastAsia" w:ascii="宋体" w:hAnsi="宋体"/>
          <w:b/>
          <w:bCs/>
          <w:szCs w:val="21"/>
        </w:rPr>
        <w:t>人社统LM1表</w:t>
      </w:r>
    </w:p>
    <w:p>
      <w:pPr>
        <w:adjustRightInd w:val="0"/>
        <w:snapToGrid w:val="0"/>
        <w:spacing w:line="460" w:lineRule="exact"/>
        <w:ind w:firstLine="420" w:firstLineChars="200"/>
        <w:rPr>
          <w:rFonts w:ascii="宋体" w:hAnsi="宋体" w:cs="黑体"/>
          <w:kern w:val="0"/>
          <w:szCs w:val="21"/>
        </w:rPr>
      </w:pPr>
      <w:r>
        <w:rPr>
          <w:rFonts w:hint="eastAsia" w:ascii="黑体" w:hAnsi="黑体" w:eastAsia="黑体" w:cs="黑体"/>
          <w:kern w:val="0"/>
          <w:szCs w:val="21"/>
        </w:rPr>
        <w:t xml:space="preserve">统一社会信用代码  </w:t>
      </w:r>
      <w:r>
        <w:rPr>
          <w:rFonts w:hint="eastAsia" w:ascii="宋体" w:hAnsi="宋体" w:cs="黑体"/>
          <w:kern w:val="0"/>
          <w:szCs w:val="21"/>
        </w:rPr>
        <w:t>指按照《国务院关于批转发展改革委等部门法人和其他组织统一社会信用代码制度建设总体方案的通知》（国发﹝2015﹞33号）规定，由赋码主管部门给每一个法人单位和其他组织颁发的在全国范围内唯一的、终身不变的法定身份识别码。已经领取了统一社会信用代码的法人单位和产业活动单位必须填写统一社会信用代码。</w:t>
      </w:r>
    </w:p>
    <w:p>
      <w:pPr>
        <w:adjustRightInd w:val="0"/>
        <w:snapToGrid w:val="0"/>
        <w:spacing w:line="460" w:lineRule="exact"/>
        <w:ind w:firstLine="420" w:firstLineChars="200"/>
        <w:rPr>
          <w:rFonts w:ascii="宋体" w:hAnsi="宋体" w:cs="宋体"/>
          <w:bCs/>
          <w:kern w:val="0"/>
          <w:szCs w:val="21"/>
        </w:rPr>
      </w:pPr>
      <w:r>
        <w:rPr>
          <w:rFonts w:hint="eastAsia" w:ascii="黑体" w:hAnsi="黑体" w:eastAsia="黑体" w:cs="黑体"/>
          <w:kern w:val="0"/>
          <w:szCs w:val="21"/>
        </w:rPr>
        <w:t xml:space="preserve">综合性公共就业和人才服务机构  </w:t>
      </w:r>
      <w:r>
        <w:rPr>
          <w:rFonts w:hint="eastAsia" w:ascii="宋体" w:hAnsi="宋体" w:cs="宋体"/>
          <w:bCs/>
          <w:kern w:val="0"/>
          <w:szCs w:val="21"/>
        </w:rPr>
        <w:t>由县级以上政府人力资源社会保障部门设立，面向用人单位和求职者提供就业和人才流动配置等各类公共服务的综合性机构，其主体是由原公共就业服务机构和人才交流服务机构合并设立的。</w:t>
      </w:r>
    </w:p>
    <w:p>
      <w:pPr>
        <w:adjustRightInd w:val="0"/>
        <w:snapToGrid w:val="0"/>
        <w:spacing w:line="460" w:lineRule="exact"/>
        <w:ind w:firstLine="420" w:firstLineChars="200"/>
        <w:rPr>
          <w:rFonts w:ascii="宋体" w:hAnsi="宋体" w:cs="宋体"/>
          <w:bCs/>
          <w:kern w:val="0"/>
          <w:szCs w:val="21"/>
        </w:rPr>
      </w:pPr>
      <w:r>
        <w:rPr>
          <w:rFonts w:hint="eastAsia" w:ascii="黑体" w:hAnsi="黑体" w:eastAsia="黑体" w:cs="黑体"/>
          <w:kern w:val="0"/>
          <w:szCs w:val="21"/>
        </w:rPr>
        <w:t xml:space="preserve">公共就业服务机构  </w:t>
      </w:r>
      <w:r>
        <w:rPr>
          <w:rFonts w:hint="eastAsia" w:ascii="宋体" w:hAnsi="宋体" w:cs="宋体"/>
          <w:bCs/>
          <w:kern w:val="0"/>
          <w:szCs w:val="21"/>
        </w:rPr>
        <w:t>由县级以上政府人力资源社会保障部门设立，承担基本公共就业服务，帮助各类就业困难群体实现就业的服务机构。</w:t>
      </w:r>
    </w:p>
    <w:p>
      <w:pPr>
        <w:adjustRightInd w:val="0"/>
        <w:snapToGrid w:val="0"/>
        <w:spacing w:line="460" w:lineRule="exact"/>
        <w:ind w:firstLine="420" w:firstLineChars="200"/>
        <w:rPr>
          <w:rFonts w:ascii="宋体" w:hAnsi="宋体" w:cs="宋体"/>
          <w:bCs/>
          <w:kern w:val="0"/>
          <w:szCs w:val="21"/>
        </w:rPr>
      </w:pPr>
      <w:r>
        <w:rPr>
          <w:rFonts w:hint="eastAsia" w:ascii="黑体" w:hAnsi="黑体" w:eastAsia="黑体" w:cs="黑体"/>
          <w:kern w:val="0"/>
          <w:szCs w:val="21"/>
        </w:rPr>
        <w:t xml:space="preserve">人才公共服务机构  </w:t>
      </w:r>
      <w:r>
        <w:rPr>
          <w:rFonts w:hint="eastAsia" w:ascii="宋体" w:hAnsi="宋体" w:cs="宋体"/>
          <w:bCs/>
          <w:kern w:val="0"/>
          <w:szCs w:val="21"/>
        </w:rPr>
        <w:t>由县级以上政府人力资源社会保障部门设立，主要面向各类人才和用人单位提供相关服务，承担公共人才服务职能的公益性服务机构。</w:t>
      </w:r>
    </w:p>
    <w:p>
      <w:pPr>
        <w:adjustRightInd w:val="0"/>
        <w:snapToGrid w:val="0"/>
        <w:spacing w:line="460" w:lineRule="exact"/>
        <w:ind w:firstLine="420" w:firstLineChars="200"/>
        <w:rPr>
          <w:rFonts w:ascii="宋体" w:hAnsi="宋体" w:cs="宋体"/>
          <w:b/>
          <w:bCs/>
          <w:kern w:val="0"/>
          <w:szCs w:val="21"/>
        </w:rPr>
      </w:pPr>
      <w:r>
        <w:rPr>
          <w:rFonts w:hint="eastAsia" w:ascii="黑体" w:hAnsi="黑体" w:eastAsia="黑体" w:cs="黑体"/>
          <w:kern w:val="0"/>
          <w:szCs w:val="21"/>
        </w:rPr>
        <w:t>行业所属服务机构</w:t>
      </w:r>
      <w:r>
        <w:rPr>
          <w:rFonts w:hint="eastAsia" w:ascii="黑体" w:hAnsi="黑体" w:eastAsia="黑体" w:cs="黑体"/>
          <w:szCs w:val="21"/>
        </w:rPr>
        <w:t xml:space="preserve">（事业单位）  </w:t>
      </w:r>
      <w:r>
        <w:rPr>
          <w:rFonts w:hint="eastAsia" w:ascii="宋体" w:hAnsi="宋体" w:cs="宋体"/>
          <w:bCs/>
          <w:kern w:val="0"/>
          <w:szCs w:val="21"/>
        </w:rPr>
        <w:t>由人社部门以外的其他行业部门举办的面向本行业提供人力资源服务的事业单位性质的人力资源服务机构。</w:t>
      </w:r>
    </w:p>
    <w:p>
      <w:pPr>
        <w:adjustRightInd w:val="0"/>
        <w:snapToGrid w:val="0"/>
        <w:spacing w:line="460" w:lineRule="exact"/>
        <w:ind w:firstLine="420" w:firstLineChars="200"/>
        <w:rPr>
          <w:rFonts w:ascii="宋体" w:hAnsi="宋体" w:cs="宋体"/>
          <w:bCs/>
          <w:kern w:val="0"/>
          <w:szCs w:val="21"/>
        </w:rPr>
      </w:pPr>
      <w:r>
        <w:rPr>
          <w:rFonts w:hint="eastAsia" w:ascii="黑体" w:hAnsi="黑体" w:eastAsia="黑体" w:cs="黑体"/>
          <w:kern w:val="0"/>
          <w:szCs w:val="21"/>
        </w:rPr>
        <w:t xml:space="preserve">国有性质的服务企业  </w:t>
      </w:r>
      <w:r>
        <w:rPr>
          <w:rFonts w:hint="eastAsia" w:ascii="宋体" w:hAnsi="宋体" w:cs="宋体"/>
          <w:bCs/>
          <w:kern w:val="0"/>
          <w:szCs w:val="21"/>
        </w:rPr>
        <w:t>指从事人力资源服务的国有企业、地方各级政府人力资源和社会保障部门所属人才（职业）服务机构设立的公司性质的机构。</w:t>
      </w:r>
    </w:p>
    <w:p>
      <w:pPr>
        <w:adjustRightInd w:val="0"/>
        <w:snapToGrid w:val="0"/>
        <w:spacing w:line="460" w:lineRule="exact"/>
        <w:ind w:firstLine="420" w:firstLineChars="200"/>
        <w:rPr>
          <w:rFonts w:ascii="宋体" w:hAnsi="宋体" w:cs="宋体"/>
          <w:bCs/>
          <w:kern w:val="0"/>
          <w:szCs w:val="21"/>
        </w:rPr>
      </w:pPr>
      <w:r>
        <w:rPr>
          <w:rFonts w:hint="eastAsia" w:ascii="黑体" w:hAnsi="黑体" w:eastAsia="黑体" w:cs="黑体"/>
          <w:kern w:val="0"/>
          <w:szCs w:val="21"/>
        </w:rPr>
        <w:t xml:space="preserve">民营性质的服务企业  </w:t>
      </w:r>
      <w:r>
        <w:rPr>
          <w:rFonts w:hint="eastAsia" w:ascii="宋体" w:hAnsi="宋体" w:cs="宋体"/>
          <w:bCs/>
          <w:kern w:val="0"/>
          <w:szCs w:val="21"/>
        </w:rPr>
        <w:t>指根据人力资源市场的相关规定，设立的由民间经营、为社会提供人力资源服务的机构。</w:t>
      </w:r>
    </w:p>
    <w:p>
      <w:pPr>
        <w:adjustRightInd w:val="0"/>
        <w:snapToGrid w:val="0"/>
        <w:spacing w:line="460" w:lineRule="exact"/>
        <w:ind w:firstLine="420" w:firstLineChars="200"/>
        <w:rPr>
          <w:rFonts w:ascii="宋体" w:hAnsi="宋体" w:cs="宋体"/>
          <w:b/>
          <w:bCs/>
          <w:kern w:val="0"/>
          <w:szCs w:val="21"/>
        </w:rPr>
      </w:pPr>
      <w:r>
        <w:rPr>
          <w:rFonts w:hint="eastAsia" w:ascii="黑体" w:hAnsi="黑体" w:eastAsia="黑体" w:cs="黑体"/>
          <w:kern w:val="0"/>
          <w:szCs w:val="21"/>
        </w:rPr>
        <w:t xml:space="preserve">外资性质的服务企业  </w:t>
      </w:r>
      <w:r>
        <w:rPr>
          <w:rFonts w:hint="eastAsia" w:ascii="宋体" w:hAnsi="宋体" w:cs="宋体"/>
          <w:bCs/>
          <w:kern w:val="0"/>
          <w:szCs w:val="21"/>
        </w:rPr>
        <w:t>指按照我国人力资源市场的有关规定，成立的具有外资性质的人力资源服务企业。</w:t>
      </w:r>
    </w:p>
    <w:p>
      <w:pPr>
        <w:adjustRightInd w:val="0"/>
        <w:snapToGrid w:val="0"/>
        <w:spacing w:line="460" w:lineRule="exact"/>
        <w:ind w:firstLine="420" w:firstLineChars="200"/>
        <w:rPr>
          <w:rFonts w:ascii="宋体" w:hAnsi="宋体" w:cs="宋体"/>
          <w:bCs/>
          <w:kern w:val="0"/>
          <w:szCs w:val="21"/>
        </w:rPr>
      </w:pPr>
      <w:r>
        <w:rPr>
          <w:rFonts w:hint="eastAsia" w:ascii="黑体" w:hAnsi="黑体" w:eastAsia="黑体" w:cs="黑体"/>
          <w:kern w:val="0"/>
          <w:szCs w:val="21"/>
        </w:rPr>
        <w:t xml:space="preserve">港、澳、台性质的服务企业  </w:t>
      </w:r>
      <w:r>
        <w:rPr>
          <w:rFonts w:hint="eastAsia" w:ascii="宋体" w:hAnsi="宋体" w:cs="宋体"/>
          <w:bCs/>
          <w:kern w:val="0"/>
          <w:szCs w:val="21"/>
        </w:rPr>
        <w:t>指按照我国人力资源市场的有关规定，成立的具有港、澳、台资性质的人力资源服务企业。</w:t>
      </w:r>
    </w:p>
    <w:p>
      <w:pPr>
        <w:adjustRightInd w:val="0"/>
        <w:snapToGrid w:val="0"/>
        <w:spacing w:line="460" w:lineRule="exact"/>
        <w:ind w:firstLine="420" w:firstLineChars="200"/>
        <w:rPr>
          <w:color w:val="000000"/>
          <w:kern w:val="0"/>
          <w:szCs w:val="21"/>
        </w:rPr>
      </w:pPr>
      <w:r>
        <w:rPr>
          <w:rFonts w:hint="eastAsia" w:ascii="黑体" w:hAnsi="黑体" w:eastAsia="黑体" w:cs="黑体"/>
          <w:kern w:val="0"/>
          <w:szCs w:val="21"/>
        </w:rPr>
        <w:t xml:space="preserve">民办非企业等其他性质的服务机构  </w:t>
      </w:r>
      <w:r>
        <w:rPr>
          <w:color w:val="000000"/>
          <w:kern w:val="0"/>
          <w:szCs w:val="21"/>
        </w:rPr>
        <w:t>指企业单位、事业单位、社会团体和其他社会力量以及公民个人利用非国有资产举办的，从事非营利性社会服务的社会组织。民办非企业法人指经各级民政部门核准登记，领取《民办非企业单位登记证书》的民办非企业单位。</w:t>
      </w:r>
    </w:p>
    <w:p>
      <w:pPr>
        <w:adjustRightInd w:val="0"/>
        <w:snapToGrid w:val="0"/>
        <w:spacing w:line="460" w:lineRule="exact"/>
        <w:ind w:firstLine="420" w:firstLineChars="200"/>
        <w:rPr>
          <w:rFonts w:ascii="宋体" w:hAnsi="宋体"/>
          <w:bCs/>
          <w:szCs w:val="21"/>
        </w:rPr>
      </w:pPr>
      <w:r>
        <w:rPr>
          <w:rFonts w:hint="eastAsia" w:ascii="黑体" w:hAnsi="黑体" w:eastAsia="黑体" w:cs="黑体"/>
          <w:szCs w:val="21"/>
        </w:rPr>
        <w:t xml:space="preserve">从业人员总数  </w:t>
      </w:r>
      <w:r>
        <w:rPr>
          <w:rFonts w:hint="eastAsia" w:ascii="宋体" w:hAnsi="宋体" w:cs="宋体"/>
          <w:kern w:val="0"/>
          <w:szCs w:val="21"/>
        </w:rPr>
        <w:t>指填报机构年底在</w:t>
      </w:r>
      <w:r>
        <w:rPr>
          <w:rFonts w:hint="eastAsia" w:ascii="宋体" w:hAnsi="宋体"/>
          <w:bCs/>
          <w:szCs w:val="21"/>
        </w:rPr>
        <w:t>册工作人员总人数，不包含派遣和外包人员。</w:t>
      </w:r>
    </w:p>
    <w:p>
      <w:pPr>
        <w:adjustRightInd w:val="0"/>
        <w:snapToGrid w:val="0"/>
        <w:spacing w:line="460" w:lineRule="exact"/>
        <w:ind w:firstLine="420" w:firstLineChars="200"/>
        <w:rPr>
          <w:rFonts w:ascii="宋体" w:hAnsi="宋体"/>
          <w:bCs/>
          <w:szCs w:val="21"/>
        </w:rPr>
      </w:pPr>
      <w:r>
        <w:rPr>
          <w:rFonts w:hint="eastAsia" w:ascii="黑体" w:hAnsi="黑体" w:eastAsia="黑体" w:cs="黑体"/>
          <w:szCs w:val="21"/>
        </w:rPr>
        <w:t xml:space="preserve">高中及以下学历从业人员  </w:t>
      </w:r>
      <w:r>
        <w:rPr>
          <w:rFonts w:hint="eastAsia" w:ascii="宋体" w:hAnsi="宋体"/>
          <w:bCs/>
          <w:szCs w:val="21"/>
        </w:rPr>
        <w:t>指从业人员中学历为高中以及下的人员的数量。</w:t>
      </w:r>
    </w:p>
    <w:p>
      <w:pPr>
        <w:adjustRightInd w:val="0"/>
        <w:snapToGrid w:val="0"/>
        <w:spacing w:line="460" w:lineRule="exact"/>
        <w:ind w:firstLine="420" w:firstLineChars="200"/>
        <w:rPr>
          <w:rFonts w:ascii="宋体" w:hAnsi="宋体"/>
          <w:bCs/>
          <w:szCs w:val="21"/>
        </w:rPr>
      </w:pPr>
      <w:r>
        <w:rPr>
          <w:rFonts w:hint="eastAsia" w:ascii="黑体" w:hAnsi="黑体" w:eastAsia="黑体" w:cs="黑体"/>
          <w:szCs w:val="21"/>
        </w:rPr>
        <w:t xml:space="preserve">大专及本科学历从业人员  </w:t>
      </w:r>
      <w:r>
        <w:rPr>
          <w:rFonts w:hint="eastAsia" w:ascii="宋体" w:hAnsi="宋体"/>
          <w:bCs/>
          <w:szCs w:val="21"/>
        </w:rPr>
        <w:t>指从业人员中具有大专或本科学历的人员数量。</w:t>
      </w:r>
    </w:p>
    <w:p>
      <w:pPr>
        <w:adjustRightInd w:val="0"/>
        <w:snapToGrid w:val="0"/>
        <w:spacing w:line="460" w:lineRule="exact"/>
        <w:ind w:firstLine="420" w:firstLineChars="200"/>
        <w:rPr>
          <w:rFonts w:ascii="宋体" w:hAnsi="宋体"/>
          <w:bCs/>
          <w:szCs w:val="21"/>
        </w:rPr>
      </w:pPr>
      <w:r>
        <w:rPr>
          <w:rFonts w:hint="eastAsia" w:ascii="黑体" w:hAnsi="黑体" w:eastAsia="黑体" w:cs="黑体"/>
          <w:szCs w:val="21"/>
          <w:lang w:eastAsia="zh-CN"/>
        </w:rPr>
        <w:t>研究生</w:t>
      </w:r>
      <w:r>
        <w:rPr>
          <w:rFonts w:hint="eastAsia" w:ascii="黑体" w:hAnsi="黑体" w:eastAsia="黑体" w:cs="黑体"/>
          <w:szCs w:val="21"/>
        </w:rPr>
        <w:t xml:space="preserve">及以上学历从业人员  </w:t>
      </w:r>
      <w:r>
        <w:rPr>
          <w:rFonts w:hint="eastAsia" w:ascii="宋体" w:hAnsi="宋体"/>
          <w:bCs/>
          <w:szCs w:val="21"/>
        </w:rPr>
        <w:t>指从业人员中具有硕士研究生及以上学历的人员数量。</w:t>
      </w:r>
    </w:p>
    <w:p>
      <w:pPr>
        <w:adjustRightInd w:val="0"/>
        <w:snapToGrid w:val="0"/>
        <w:spacing w:line="460" w:lineRule="exact"/>
        <w:ind w:firstLine="420" w:firstLineChars="200"/>
        <w:rPr>
          <w:rFonts w:ascii="宋体" w:hAnsi="宋体"/>
          <w:bCs/>
          <w:szCs w:val="21"/>
        </w:rPr>
      </w:pPr>
      <w:r>
        <w:rPr>
          <w:rFonts w:hint="eastAsia" w:ascii="黑体" w:hAnsi="黑体" w:eastAsia="黑体" w:cs="黑体"/>
          <w:szCs w:val="21"/>
        </w:rPr>
        <w:t xml:space="preserve">取得职业资格从业人员  </w:t>
      </w:r>
      <w:r>
        <w:rPr>
          <w:rFonts w:hint="eastAsia" w:ascii="宋体" w:hAnsi="宋体"/>
          <w:bCs/>
          <w:szCs w:val="21"/>
        </w:rPr>
        <w:t>指按国家有关规定，取得相关职业资格的从业人员数量。</w:t>
      </w:r>
    </w:p>
    <w:p>
      <w:pPr>
        <w:adjustRightInd w:val="0"/>
        <w:snapToGrid w:val="0"/>
        <w:spacing w:line="460" w:lineRule="exact"/>
        <w:ind w:firstLine="420" w:firstLineChars="200"/>
        <w:rPr>
          <w:rFonts w:ascii="宋体" w:hAnsi="宋体"/>
          <w:bCs/>
          <w:szCs w:val="21"/>
        </w:rPr>
      </w:pPr>
      <w:r>
        <w:rPr>
          <w:rFonts w:hint="eastAsia" w:ascii="黑体" w:hAnsi="黑体" w:eastAsia="黑体" w:cs="黑体"/>
          <w:szCs w:val="21"/>
        </w:rPr>
        <w:t xml:space="preserve">取得人力资源管理专业职称人员  </w:t>
      </w:r>
      <w:r>
        <w:rPr>
          <w:rFonts w:hint="eastAsia" w:ascii="宋体" w:hAnsi="宋体"/>
          <w:bCs/>
          <w:szCs w:val="21"/>
        </w:rPr>
        <w:t>指按国家有关规定，取得人力资源管理管理专业职称的从业人员数量。</w:t>
      </w:r>
    </w:p>
    <w:p>
      <w:pPr>
        <w:adjustRightInd w:val="0"/>
        <w:snapToGrid w:val="0"/>
        <w:spacing w:line="460" w:lineRule="exact"/>
        <w:ind w:firstLine="420" w:firstLineChars="200"/>
        <w:rPr>
          <w:rFonts w:ascii="宋体" w:hAnsi="宋体"/>
          <w:bCs/>
          <w:szCs w:val="21"/>
        </w:rPr>
      </w:pPr>
      <w:r>
        <w:rPr>
          <w:rFonts w:hint="eastAsia" w:ascii="黑体" w:hAnsi="黑体" w:eastAsia="黑体" w:cs="黑体"/>
          <w:szCs w:val="21"/>
        </w:rPr>
        <w:t xml:space="preserve">设立固定招聘场所  </w:t>
      </w:r>
      <w:r>
        <w:rPr>
          <w:rFonts w:hint="eastAsia" w:ascii="宋体" w:hAnsi="宋体"/>
          <w:bCs/>
          <w:szCs w:val="21"/>
        </w:rPr>
        <w:t>指人力资源服务机构设立的从事招聘等服务的固定交流场所数量。</w:t>
      </w:r>
    </w:p>
    <w:p>
      <w:pPr>
        <w:adjustRightInd w:val="0"/>
        <w:snapToGrid w:val="0"/>
        <w:spacing w:line="460" w:lineRule="exact"/>
        <w:ind w:firstLine="420" w:firstLineChars="200"/>
        <w:rPr>
          <w:rFonts w:ascii="宋体" w:hAnsi="宋体"/>
          <w:bCs/>
          <w:szCs w:val="21"/>
        </w:rPr>
      </w:pPr>
      <w:r>
        <w:rPr>
          <w:rFonts w:hint="eastAsia" w:ascii="黑体" w:hAnsi="黑体" w:eastAsia="黑体" w:cs="黑体"/>
          <w:szCs w:val="21"/>
        </w:rPr>
        <w:t xml:space="preserve">建立人力资源服务网站  </w:t>
      </w:r>
      <w:r>
        <w:rPr>
          <w:rFonts w:hint="eastAsia" w:ascii="宋体" w:hAnsi="宋体"/>
          <w:bCs/>
          <w:szCs w:val="21"/>
        </w:rPr>
        <w:t>指人力资源服务机构建立的从事人力资源服务的相关网站数量。</w:t>
      </w:r>
    </w:p>
    <w:p>
      <w:pPr>
        <w:adjustRightInd w:val="0"/>
        <w:snapToGrid w:val="0"/>
        <w:spacing w:line="460" w:lineRule="exact"/>
        <w:ind w:firstLine="420" w:firstLineChars="200"/>
        <w:rPr>
          <w:rFonts w:ascii="宋体" w:hAnsi="宋体"/>
          <w:b/>
          <w:bCs/>
          <w:szCs w:val="21"/>
        </w:rPr>
      </w:pPr>
      <w:r>
        <w:rPr>
          <w:rFonts w:hint="eastAsia" w:ascii="黑体" w:hAnsi="黑体" w:eastAsia="黑体" w:cs="黑体"/>
          <w:szCs w:val="21"/>
        </w:rPr>
        <w:t xml:space="preserve">注册资本  </w:t>
      </w:r>
      <w:r>
        <w:rPr>
          <w:rFonts w:hint="eastAsia" w:ascii="宋体" w:hAnsi="宋体"/>
          <w:bCs/>
          <w:szCs w:val="21"/>
        </w:rPr>
        <w:t>指企业性质的人力资源服务机构向工商行政管理机关登记注册的资本总额。</w:t>
      </w:r>
    </w:p>
    <w:p>
      <w:pPr>
        <w:adjustRightInd w:val="0"/>
        <w:snapToGrid w:val="0"/>
        <w:spacing w:line="460" w:lineRule="exact"/>
        <w:ind w:firstLine="420" w:firstLineChars="200"/>
        <w:rPr>
          <w:rFonts w:ascii="宋体" w:hAnsi="宋体"/>
          <w:bCs/>
          <w:szCs w:val="21"/>
        </w:rPr>
      </w:pPr>
      <w:r>
        <w:rPr>
          <w:rFonts w:hint="eastAsia" w:ascii="黑体" w:hAnsi="黑体" w:eastAsia="黑体" w:cs="黑体"/>
          <w:szCs w:val="21"/>
        </w:rPr>
        <w:t xml:space="preserve">总资产  </w:t>
      </w:r>
      <w:r>
        <w:rPr>
          <w:rFonts w:hint="eastAsia" w:ascii="宋体" w:hAnsi="宋体"/>
          <w:bCs/>
          <w:szCs w:val="21"/>
        </w:rPr>
        <w:t>指企业性质的人力资源服务机构的总资产。</w:t>
      </w:r>
    </w:p>
    <w:p>
      <w:pPr>
        <w:adjustRightInd w:val="0"/>
        <w:snapToGrid w:val="0"/>
        <w:spacing w:line="460" w:lineRule="exact"/>
        <w:ind w:firstLine="420" w:firstLineChars="200"/>
        <w:rPr>
          <w:rFonts w:ascii="宋体" w:hAnsi="宋体"/>
          <w:bCs/>
          <w:szCs w:val="21"/>
        </w:rPr>
      </w:pPr>
      <w:r>
        <w:rPr>
          <w:rFonts w:hint="eastAsia" w:ascii="黑体" w:hAnsi="黑体" w:eastAsia="黑体" w:cs="黑体"/>
          <w:szCs w:val="21"/>
        </w:rPr>
        <w:t xml:space="preserve">全年营业收入  </w:t>
      </w:r>
      <w:r>
        <w:rPr>
          <w:rFonts w:hint="eastAsia" w:ascii="宋体" w:hAnsi="宋体"/>
          <w:bCs/>
          <w:szCs w:val="21"/>
        </w:rPr>
        <w:t>指企业从事销售商品、提供劳务和让渡的资产使用权等生产经营活动形成的经济利益流入。营业收入包括“主营业务收入”和“其他业务收入”。根据会计“利润表”中“营业收入”项目的本年累计数填报。</w:t>
      </w:r>
      <w:r>
        <w:rPr>
          <w:rFonts w:hint="eastAsia" w:ascii="宋体" w:hAnsi="宋体" w:cs="宋体"/>
          <w:kern w:val="0"/>
          <w:szCs w:val="21"/>
        </w:rPr>
        <w:t>（此项收入应包括劳务派遣、人力资源外包服务等代收代付的业务收入）</w:t>
      </w:r>
      <w:r>
        <w:rPr>
          <w:rFonts w:hint="eastAsia" w:ascii="宋体" w:hAnsi="宋体"/>
          <w:bCs/>
          <w:szCs w:val="21"/>
        </w:rPr>
        <w:t>。</w:t>
      </w:r>
    </w:p>
    <w:p>
      <w:pPr>
        <w:adjustRightInd w:val="0"/>
        <w:snapToGrid w:val="0"/>
        <w:spacing w:line="460" w:lineRule="exact"/>
        <w:ind w:firstLine="420" w:firstLineChars="200"/>
        <w:rPr>
          <w:rFonts w:ascii="宋体" w:hAnsi="宋体"/>
          <w:bCs/>
          <w:szCs w:val="21"/>
        </w:rPr>
      </w:pPr>
      <w:r>
        <w:rPr>
          <w:rFonts w:hint="eastAsia" w:ascii="黑体" w:hAnsi="黑体" w:eastAsia="黑体" w:cs="黑体"/>
          <w:szCs w:val="21"/>
        </w:rPr>
        <w:t xml:space="preserve">代收代付部分  </w:t>
      </w:r>
      <w:r>
        <w:rPr>
          <w:rFonts w:hint="eastAsia" w:ascii="宋体" w:hAnsi="宋体"/>
          <w:bCs/>
          <w:szCs w:val="21"/>
        </w:rPr>
        <w:t>指机构从事人力资源服务经营收入中属于劳务派遣、人力资源</w:t>
      </w:r>
      <w:r>
        <w:rPr>
          <w:rFonts w:hint="eastAsia" w:ascii="宋体" w:hAnsi="宋体" w:cs="宋体"/>
          <w:kern w:val="0"/>
          <w:szCs w:val="21"/>
        </w:rPr>
        <w:t>外包</w:t>
      </w:r>
      <w:r>
        <w:rPr>
          <w:rFonts w:hint="eastAsia" w:ascii="宋体" w:hAnsi="宋体"/>
          <w:bCs/>
          <w:szCs w:val="21"/>
        </w:rPr>
        <w:t>服务等代收代付的收入部分。</w:t>
      </w:r>
    </w:p>
    <w:p>
      <w:pPr>
        <w:adjustRightInd w:val="0"/>
        <w:snapToGrid w:val="0"/>
        <w:spacing w:line="400" w:lineRule="exact"/>
        <w:ind w:firstLine="411" w:firstLineChars="196"/>
        <w:rPr>
          <w:rFonts w:ascii="宋体" w:hAnsi="宋体"/>
          <w:bCs/>
          <w:szCs w:val="21"/>
        </w:rPr>
      </w:pPr>
    </w:p>
    <w:p>
      <w:pPr>
        <w:adjustRightInd w:val="0"/>
        <w:snapToGrid w:val="0"/>
        <w:spacing w:line="400" w:lineRule="exact"/>
        <w:ind w:firstLine="422" w:firstLineChars="200"/>
        <w:outlineLvl w:val="0"/>
        <w:rPr>
          <w:rFonts w:ascii="宋体" w:hAnsi="宋体"/>
          <w:b/>
          <w:bCs/>
          <w:szCs w:val="21"/>
        </w:rPr>
      </w:pPr>
      <w:r>
        <w:rPr>
          <w:rFonts w:hint="eastAsia" w:ascii="宋体" w:hAnsi="宋体"/>
          <w:b/>
          <w:bCs/>
          <w:szCs w:val="21"/>
        </w:rPr>
        <w:t>人社统LM2表</w:t>
      </w:r>
    </w:p>
    <w:p>
      <w:pPr>
        <w:adjustRightInd w:val="0"/>
        <w:snapToGrid w:val="0"/>
        <w:spacing w:line="460" w:lineRule="exact"/>
        <w:ind w:firstLine="420" w:firstLineChars="200"/>
        <w:rPr>
          <w:rFonts w:ascii="宋体" w:hAnsi="宋体" w:cs="黑体"/>
          <w:kern w:val="0"/>
          <w:szCs w:val="21"/>
        </w:rPr>
      </w:pPr>
      <w:r>
        <w:rPr>
          <w:rFonts w:hint="eastAsia" w:ascii="黑体" w:hAnsi="黑体" w:eastAsia="黑体" w:cs="黑体"/>
          <w:kern w:val="0"/>
          <w:szCs w:val="21"/>
        </w:rPr>
        <w:t xml:space="preserve">统一社会信用代码  </w:t>
      </w:r>
      <w:r>
        <w:rPr>
          <w:rFonts w:hint="eastAsia" w:ascii="宋体" w:hAnsi="宋体" w:cs="黑体"/>
          <w:kern w:val="0"/>
          <w:szCs w:val="21"/>
        </w:rPr>
        <w:t>指按照《国务院关于批转发展改革委等部门法人和其他组织统一社会信用代码制度建设总体方案的通知》（国发﹝2015﹞33号）规定，由赋码主管部门给每一个法人单位和其他组织颁发的在全国范围内唯一的、终身不变的法定身份识别码。已经领取了统一社会信用代码的法人单位和产业活动单位必须填写统的一社会信用代码。</w:t>
      </w:r>
    </w:p>
    <w:p>
      <w:pPr>
        <w:adjustRightInd w:val="0"/>
        <w:snapToGrid w:val="0"/>
        <w:spacing w:line="460" w:lineRule="exact"/>
        <w:ind w:left="4" w:firstLine="420" w:firstLineChars="200"/>
        <w:rPr>
          <w:rFonts w:ascii="宋体" w:hAnsi="宋体" w:cs="宋体"/>
          <w:kern w:val="0"/>
          <w:szCs w:val="21"/>
        </w:rPr>
      </w:pPr>
      <w:r>
        <w:rPr>
          <w:rFonts w:hint="eastAsia" w:ascii="黑体" w:hAnsi="黑体" w:eastAsia="黑体" w:cs="黑体"/>
          <w:bCs/>
          <w:szCs w:val="21"/>
        </w:rPr>
        <w:t xml:space="preserve">帮助实现就业、择业和流动人次  </w:t>
      </w:r>
      <w:r>
        <w:rPr>
          <w:rFonts w:hint="eastAsia" w:ascii="宋体" w:hAnsi="宋体" w:cs="宋体"/>
          <w:kern w:val="0"/>
          <w:szCs w:val="21"/>
        </w:rPr>
        <w:t>指报告期内，经机构推荐成功实现就业、择业或工作转换的人次。</w:t>
      </w:r>
    </w:p>
    <w:p>
      <w:pPr>
        <w:adjustRightInd w:val="0"/>
        <w:snapToGrid w:val="0"/>
        <w:spacing w:line="460" w:lineRule="exact"/>
        <w:ind w:left="4" w:firstLine="420" w:firstLineChars="200"/>
        <w:rPr>
          <w:rFonts w:ascii="宋体" w:hAnsi="宋体"/>
          <w:bCs/>
          <w:szCs w:val="21"/>
        </w:rPr>
      </w:pPr>
      <w:r>
        <w:rPr>
          <w:rFonts w:hint="eastAsia" w:ascii="黑体" w:hAnsi="黑体" w:eastAsia="黑体" w:cs="黑体"/>
          <w:bCs/>
          <w:kern w:val="0"/>
          <w:szCs w:val="21"/>
        </w:rPr>
        <w:t xml:space="preserve">高中及以下学历人员  </w:t>
      </w:r>
      <w:r>
        <w:rPr>
          <w:rFonts w:hint="eastAsia" w:ascii="宋体" w:hAnsi="宋体" w:cs="宋体"/>
          <w:kern w:val="0"/>
          <w:szCs w:val="21"/>
        </w:rPr>
        <w:t>指帮助实现就业和流动中的高中及以下学历的人次。</w:t>
      </w:r>
    </w:p>
    <w:p>
      <w:pPr>
        <w:adjustRightInd w:val="0"/>
        <w:snapToGrid w:val="0"/>
        <w:spacing w:line="460" w:lineRule="exact"/>
        <w:ind w:firstLine="420" w:firstLineChars="200"/>
        <w:rPr>
          <w:rFonts w:ascii="宋体" w:hAnsi="宋体"/>
          <w:bCs/>
          <w:szCs w:val="21"/>
        </w:rPr>
      </w:pPr>
      <w:r>
        <w:rPr>
          <w:rFonts w:hint="eastAsia" w:ascii="黑体" w:hAnsi="黑体" w:eastAsia="黑体" w:cs="黑体"/>
          <w:bCs/>
          <w:kern w:val="0"/>
          <w:szCs w:val="21"/>
        </w:rPr>
        <w:t xml:space="preserve">大专及本科学历人员  </w:t>
      </w:r>
      <w:r>
        <w:rPr>
          <w:rFonts w:hint="eastAsia" w:ascii="宋体" w:hAnsi="宋体" w:cs="宋体"/>
          <w:kern w:val="0"/>
          <w:szCs w:val="21"/>
        </w:rPr>
        <w:t>指帮助实现就业和流动中具有大专或本科学历人次。</w:t>
      </w:r>
    </w:p>
    <w:p>
      <w:pPr>
        <w:adjustRightInd w:val="0"/>
        <w:snapToGrid w:val="0"/>
        <w:spacing w:line="460" w:lineRule="exact"/>
        <w:ind w:firstLine="420" w:firstLineChars="200"/>
        <w:rPr>
          <w:rFonts w:ascii="宋体" w:hAnsi="宋体"/>
          <w:bCs/>
          <w:szCs w:val="21"/>
        </w:rPr>
      </w:pPr>
      <w:r>
        <w:rPr>
          <w:rFonts w:hint="eastAsia" w:ascii="黑体" w:hAnsi="黑体" w:eastAsia="黑体" w:cs="黑体"/>
          <w:bCs/>
          <w:kern w:val="0"/>
          <w:szCs w:val="21"/>
          <w:lang w:eastAsia="zh-CN"/>
        </w:rPr>
        <w:t>研究生</w:t>
      </w:r>
      <w:r>
        <w:rPr>
          <w:rFonts w:hint="eastAsia" w:ascii="黑体" w:hAnsi="黑体" w:eastAsia="黑体" w:cs="黑体"/>
          <w:bCs/>
          <w:kern w:val="0"/>
          <w:szCs w:val="21"/>
        </w:rPr>
        <w:t xml:space="preserve">及以上学历人员  </w:t>
      </w:r>
      <w:r>
        <w:rPr>
          <w:rFonts w:hint="eastAsia" w:ascii="宋体" w:hAnsi="宋体" w:cs="宋体"/>
          <w:kern w:val="0"/>
          <w:szCs w:val="21"/>
        </w:rPr>
        <w:t>指帮助实现就业和流动中具有硕士研究生及以上学历人次。</w:t>
      </w:r>
    </w:p>
    <w:p>
      <w:pPr>
        <w:adjustRightInd w:val="0"/>
        <w:snapToGrid w:val="0"/>
        <w:spacing w:line="460" w:lineRule="exact"/>
        <w:ind w:firstLine="420" w:firstLineChars="200"/>
        <w:rPr>
          <w:rFonts w:ascii="宋体" w:hAnsi="宋体" w:cs="宋体"/>
          <w:kern w:val="0"/>
          <w:szCs w:val="21"/>
        </w:rPr>
      </w:pPr>
      <w:r>
        <w:rPr>
          <w:rFonts w:hint="eastAsia" w:ascii="黑体" w:hAnsi="黑体" w:eastAsia="黑体" w:cs="黑体"/>
          <w:bCs/>
          <w:kern w:val="0"/>
          <w:szCs w:val="21"/>
        </w:rPr>
        <w:t xml:space="preserve">服务用人单位次数  </w:t>
      </w:r>
      <w:r>
        <w:rPr>
          <w:rFonts w:hint="eastAsia" w:ascii="宋体" w:hAnsi="宋体" w:cs="宋体"/>
          <w:kern w:val="0"/>
          <w:szCs w:val="21"/>
        </w:rPr>
        <w:t>指报告期内机构开展各项人力资源服务业务活动所服务的单位总家次。</w:t>
      </w:r>
    </w:p>
    <w:p>
      <w:pPr>
        <w:adjustRightInd w:val="0"/>
        <w:snapToGrid w:val="0"/>
        <w:spacing w:line="460" w:lineRule="exact"/>
        <w:ind w:firstLine="420" w:firstLineChars="200"/>
        <w:jc w:val="left"/>
        <w:rPr>
          <w:rFonts w:ascii="黑体" w:hAnsi="黑体" w:eastAsia="黑体" w:cs="黑体"/>
          <w:bCs/>
          <w:szCs w:val="21"/>
        </w:rPr>
      </w:pPr>
      <w:r>
        <w:rPr>
          <w:rFonts w:hint="eastAsia" w:ascii="黑体" w:hAnsi="黑体" w:eastAsia="黑体" w:cs="黑体"/>
          <w:bCs/>
          <w:szCs w:val="21"/>
        </w:rPr>
        <w:t xml:space="preserve">机关事业单位  </w:t>
      </w:r>
      <w:r>
        <w:rPr>
          <w:rFonts w:hint="eastAsia" w:ascii="宋体" w:hAnsi="宋体"/>
          <w:bCs/>
          <w:szCs w:val="21"/>
        </w:rPr>
        <w:t>指人力资源服务机构服务的用人单位中机关单位、事业单位家次。</w:t>
      </w:r>
    </w:p>
    <w:p>
      <w:pPr>
        <w:adjustRightInd w:val="0"/>
        <w:snapToGrid w:val="0"/>
        <w:spacing w:line="460" w:lineRule="exact"/>
        <w:ind w:firstLine="420" w:firstLineChars="200"/>
        <w:jc w:val="left"/>
        <w:rPr>
          <w:rFonts w:ascii="宋体" w:hAnsi="宋体"/>
          <w:bCs/>
          <w:szCs w:val="21"/>
        </w:rPr>
      </w:pPr>
      <w:r>
        <w:rPr>
          <w:rFonts w:hint="eastAsia" w:ascii="黑体" w:hAnsi="黑体" w:eastAsia="黑体" w:cs="黑体"/>
          <w:bCs/>
          <w:szCs w:val="21"/>
        </w:rPr>
        <w:t xml:space="preserve">国有企业  </w:t>
      </w:r>
      <w:r>
        <w:rPr>
          <w:rFonts w:hint="eastAsia" w:ascii="宋体" w:hAnsi="宋体"/>
          <w:bCs/>
          <w:szCs w:val="21"/>
        </w:rPr>
        <w:t>指人力资源服务机构服务的用人单位中国有企业家次。</w:t>
      </w:r>
    </w:p>
    <w:p>
      <w:pPr>
        <w:adjustRightInd w:val="0"/>
        <w:snapToGrid w:val="0"/>
        <w:spacing w:line="460" w:lineRule="exact"/>
        <w:ind w:firstLine="420" w:firstLineChars="200"/>
        <w:rPr>
          <w:rFonts w:ascii="宋体" w:hAnsi="宋体"/>
          <w:bCs/>
          <w:szCs w:val="21"/>
        </w:rPr>
      </w:pPr>
      <w:r>
        <w:rPr>
          <w:rFonts w:hint="eastAsia" w:ascii="黑体" w:hAnsi="黑体" w:eastAsia="黑体" w:cs="黑体"/>
          <w:bCs/>
          <w:szCs w:val="21"/>
        </w:rPr>
        <w:t xml:space="preserve">民营企业  </w:t>
      </w:r>
      <w:r>
        <w:rPr>
          <w:rFonts w:hint="eastAsia" w:ascii="宋体" w:hAnsi="宋体"/>
          <w:bCs/>
          <w:szCs w:val="21"/>
        </w:rPr>
        <w:t>指人力资源服务机构服务的用人单位中民营企业的家次。</w:t>
      </w:r>
    </w:p>
    <w:p>
      <w:pPr>
        <w:adjustRightInd w:val="0"/>
        <w:snapToGrid w:val="0"/>
        <w:spacing w:line="460" w:lineRule="exact"/>
        <w:ind w:firstLine="420" w:firstLineChars="200"/>
        <w:rPr>
          <w:rFonts w:ascii="宋体" w:hAnsi="宋体"/>
          <w:bCs/>
          <w:szCs w:val="21"/>
        </w:rPr>
      </w:pPr>
      <w:r>
        <w:rPr>
          <w:rFonts w:hint="eastAsia" w:ascii="黑体" w:hAnsi="黑体" w:eastAsia="黑体" w:cs="黑体"/>
          <w:bCs/>
          <w:szCs w:val="21"/>
        </w:rPr>
        <w:t>外资企业</w:t>
      </w:r>
      <w:r>
        <w:rPr>
          <w:rFonts w:hint="eastAsia" w:ascii="宋体" w:hAnsi="宋体"/>
          <w:bCs/>
          <w:szCs w:val="21"/>
        </w:rPr>
        <w:t>指  人力资源服务机构服务的用人单位中外资性质的企业的家次。</w:t>
      </w:r>
    </w:p>
    <w:p>
      <w:pPr>
        <w:adjustRightInd w:val="0"/>
        <w:snapToGrid w:val="0"/>
        <w:spacing w:line="460" w:lineRule="exact"/>
        <w:ind w:firstLine="420" w:firstLineChars="200"/>
        <w:rPr>
          <w:rFonts w:ascii="宋体" w:hAnsi="宋体"/>
          <w:bCs/>
          <w:szCs w:val="21"/>
        </w:rPr>
      </w:pPr>
      <w:r>
        <w:rPr>
          <w:rFonts w:hint="eastAsia" w:ascii="黑体" w:hAnsi="黑体" w:eastAsia="黑体" w:cs="黑体"/>
          <w:bCs/>
          <w:szCs w:val="21"/>
        </w:rPr>
        <w:t xml:space="preserve">其他  </w:t>
      </w:r>
      <w:r>
        <w:rPr>
          <w:rFonts w:hint="eastAsia" w:ascii="宋体" w:hAnsi="宋体"/>
          <w:bCs/>
          <w:szCs w:val="21"/>
        </w:rPr>
        <w:t>指除机关事业单位、国有企业、民营企业和外资企业外，人力资源服务机构服务的用人单位中其他性质机构的家次。</w:t>
      </w:r>
    </w:p>
    <w:p>
      <w:pPr>
        <w:adjustRightInd w:val="0"/>
        <w:snapToGrid w:val="0"/>
        <w:spacing w:line="460" w:lineRule="exact"/>
        <w:ind w:firstLine="420" w:firstLineChars="200"/>
        <w:rPr>
          <w:rFonts w:ascii="宋体" w:hAnsi="宋体" w:cs="宋体"/>
          <w:kern w:val="0"/>
          <w:szCs w:val="21"/>
        </w:rPr>
      </w:pPr>
      <w:r>
        <w:rPr>
          <w:rFonts w:hint="eastAsia" w:ascii="黑体" w:hAnsi="黑体" w:eastAsia="黑体" w:cs="黑体"/>
          <w:bCs/>
          <w:kern w:val="0"/>
          <w:szCs w:val="21"/>
        </w:rPr>
        <w:t xml:space="preserve">举办招聘会次数  </w:t>
      </w:r>
      <w:r>
        <w:rPr>
          <w:rFonts w:hint="eastAsia" w:ascii="宋体" w:hAnsi="宋体" w:cs="宋体"/>
          <w:kern w:val="0"/>
          <w:szCs w:val="21"/>
        </w:rPr>
        <w:t>指报告期内人力资源服务机构所举办的现场招聘会的总场次数。</w:t>
      </w:r>
    </w:p>
    <w:p>
      <w:pPr>
        <w:adjustRightInd w:val="0"/>
        <w:snapToGrid w:val="0"/>
        <w:spacing w:line="460" w:lineRule="exact"/>
        <w:ind w:firstLine="420" w:firstLineChars="200"/>
        <w:rPr>
          <w:rFonts w:ascii="黑体" w:hAnsi="黑体" w:eastAsia="黑体" w:cs="黑体"/>
          <w:bCs/>
          <w:kern w:val="0"/>
          <w:szCs w:val="21"/>
        </w:rPr>
      </w:pPr>
      <w:r>
        <w:rPr>
          <w:rFonts w:hint="eastAsia" w:ascii="黑体" w:hAnsi="黑体" w:eastAsia="黑体" w:cs="黑体"/>
          <w:bCs/>
          <w:kern w:val="0"/>
          <w:szCs w:val="21"/>
        </w:rPr>
        <w:t xml:space="preserve">农民工专场  </w:t>
      </w:r>
      <w:r>
        <w:rPr>
          <w:rFonts w:hint="eastAsia" w:ascii="宋体" w:hAnsi="宋体" w:cs="宋体"/>
          <w:kern w:val="0"/>
          <w:szCs w:val="21"/>
        </w:rPr>
        <w:t>指报告期内人力资源服务机构所举办的现场招聘会中为农民工举办的专场的总场次数。</w:t>
      </w:r>
    </w:p>
    <w:p>
      <w:pPr>
        <w:adjustRightInd w:val="0"/>
        <w:snapToGrid w:val="0"/>
        <w:spacing w:line="460" w:lineRule="exact"/>
        <w:ind w:firstLine="420" w:firstLineChars="200"/>
        <w:rPr>
          <w:rFonts w:ascii="宋体" w:hAnsi="宋体" w:cs="宋体"/>
          <w:kern w:val="0"/>
          <w:szCs w:val="21"/>
        </w:rPr>
      </w:pPr>
      <w:r>
        <w:rPr>
          <w:rFonts w:hint="eastAsia" w:ascii="黑体" w:hAnsi="黑体" w:eastAsia="黑体" w:cs="黑体"/>
          <w:bCs/>
          <w:kern w:val="0"/>
          <w:szCs w:val="21"/>
        </w:rPr>
        <w:t xml:space="preserve">高校毕业生专场  </w:t>
      </w:r>
      <w:r>
        <w:rPr>
          <w:rFonts w:hint="eastAsia" w:ascii="宋体" w:hAnsi="宋体" w:cs="宋体"/>
          <w:kern w:val="0"/>
          <w:szCs w:val="21"/>
        </w:rPr>
        <w:t>指报告期内人力资源服务机构所举办的现场招聘会中为高校毕业生举办的专场的总场次数。</w:t>
      </w:r>
    </w:p>
    <w:p>
      <w:pPr>
        <w:adjustRightInd w:val="0"/>
        <w:snapToGrid w:val="0"/>
        <w:spacing w:line="460" w:lineRule="exact"/>
        <w:ind w:firstLine="420" w:firstLineChars="200"/>
        <w:rPr>
          <w:rFonts w:ascii="宋体" w:hAnsi="宋体" w:cs="宋体"/>
          <w:kern w:val="0"/>
          <w:szCs w:val="21"/>
        </w:rPr>
      </w:pPr>
      <w:r>
        <w:rPr>
          <w:rFonts w:hint="eastAsia" w:ascii="黑体" w:hAnsi="黑体" w:eastAsia="黑体" w:cs="黑体"/>
          <w:bCs/>
          <w:kern w:val="0"/>
          <w:szCs w:val="21"/>
        </w:rPr>
        <w:t xml:space="preserve">参会用人单位数  </w:t>
      </w:r>
      <w:r>
        <w:rPr>
          <w:rFonts w:hint="eastAsia" w:ascii="宋体" w:hAnsi="宋体" w:cs="宋体"/>
          <w:kern w:val="0"/>
          <w:szCs w:val="21"/>
        </w:rPr>
        <w:t>指报告期内参加人力资源服务机构举办的现场招聘会招聘单位的总数。</w:t>
      </w:r>
    </w:p>
    <w:p>
      <w:pPr>
        <w:adjustRightInd w:val="0"/>
        <w:snapToGrid w:val="0"/>
        <w:spacing w:line="460" w:lineRule="exact"/>
        <w:ind w:firstLine="420" w:firstLineChars="200"/>
        <w:rPr>
          <w:rFonts w:ascii="宋体" w:hAnsi="宋体" w:cs="宋体"/>
          <w:kern w:val="0"/>
          <w:szCs w:val="21"/>
        </w:rPr>
      </w:pPr>
      <w:r>
        <w:rPr>
          <w:rFonts w:hint="eastAsia" w:ascii="黑体" w:hAnsi="黑体" w:eastAsia="黑体" w:cs="黑体"/>
          <w:bCs/>
          <w:kern w:val="0"/>
          <w:szCs w:val="21"/>
        </w:rPr>
        <w:t xml:space="preserve">提供招聘岗位数  </w:t>
      </w:r>
      <w:r>
        <w:rPr>
          <w:rFonts w:hint="eastAsia" w:ascii="宋体" w:hAnsi="宋体" w:cs="宋体"/>
          <w:kern w:val="0"/>
          <w:szCs w:val="21"/>
        </w:rPr>
        <w:t>指报告期内人力资源服务机构举办的现场招聘会上招聘岗位的总数。</w:t>
      </w:r>
    </w:p>
    <w:p>
      <w:pPr>
        <w:adjustRightInd w:val="0"/>
        <w:snapToGrid w:val="0"/>
        <w:spacing w:line="460" w:lineRule="exact"/>
        <w:ind w:firstLine="420" w:firstLineChars="200"/>
        <w:rPr>
          <w:rFonts w:ascii="宋体" w:hAnsi="宋体" w:cs="宋体"/>
          <w:kern w:val="0"/>
          <w:szCs w:val="21"/>
        </w:rPr>
      </w:pPr>
      <w:r>
        <w:rPr>
          <w:rFonts w:hint="eastAsia" w:ascii="黑体" w:hAnsi="黑体" w:eastAsia="黑体" w:cs="黑体"/>
          <w:bCs/>
          <w:kern w:val="0"/>
          <w:szCs w:val="21"/>
        </w:rPr>
        <w:t xml:space="preserve">参会求职人次  </w:t>
      </w:r>
      <w:r>
        <w:rPr>
          <w:rFonts w:hint="eastAsia" w:ascii="宋体" w:hAnsi="宋体" w:cs="宋体"/>
          <w:kern w:val="0"/>
          <w:szCs w:val="21"/>
        </w:rPr>
        <w:t>指报告期内参加人力资源服务机构举办的现场招聘会的总人次数。</w:t>
      </w:r>
    </w:p>
    <w:p>
      <w:pPr>
        <w:adjustRightInd w:val="0"/>
        <w:snapToGrid w:val="0"/>
        <w:spacing w:line="460" w:lineRule="exact"/>
        <w:ind w:firstLine="420" w:firstLineChars="200"/>
        <w:rPr>
          <w:rFonts w:ascii="宋体" w:hAnsi="宋体" w:cs="宋体"/>
          <w:kern w:val="0"/>
          <w:szCs w:val="21"/>
        </w:rPr>
      </w:pPr>
      <w:r>
        <w:rPr>
          <w:rFonts w:hint="eastAsia" w:ascii="黑体" w:hAnsi="黑体" w:eastAsia="黑体" w:cs="黑体"/>
          <w:bCs/>
          <w:kern w:val="0"/>
          <w:szCs w:val="21"/>
        </w:rPr>
        <w:t xml:space="preserve">发布岗位信息数  </w:t>
      </w:r>
      <w:r>
        <w:rPr>
          <w:rFonts w:hint="eastAsia" w:ascii="宋体" w:hAnsi="宋体" w:cs="宋体"/>
          <w:kern w:val="0"/>
          <w:szCs w:val="21"/>
        </w:rPr>
        <w:t>人力资源机构全年通过人力资源服务网站向社会发布的岗位需求信息条数。</w:t>
      </w:r>
    </w:p>
    <w:p>
      <w:pPr>
        <w:adjustRightInd w:val="0"/>
        <w:snapToGrid w:val="0"/>
        <w:spacing w:line="460" w:lineRule="exact"/>
        <w:ind w:firstLine="420" w:firstLineChars="200"/>
        <w:rPr>
          <w:rFonts w:ascii="宋体" w:hAnsi="宋体" w:cs="宋体"/>
          <w:kern w:val="0"/>
          <w:szCs w:val="21"/>
        </w:rPr>
      </w:pPr>
      <w:r>
        <w:rPr>
          <w:rFonts w:hint="eastAsia" w:ascii="黑体" w:hAnsi="黑体" w:eastAsia="黑体" w:cs="黑体"/>
          <w:bCs/>
          <w:kern w:val="0"/>
          <w:szCs w:val="21"/>
        </w:rPr>
        <w:t xml:space="preserve">发布求职信息数  </w:t>
      </w:r>
      <w:r>
        <w:rPr>
          <w:rFonts w:hint="eastAsia" w:ascii="宋体" w:hAnsi="宋体" w:cs="宋体"/>
          <w:kern w:val="0"/>
          <w:szCs w:val="21"/>
        </w:rPr>
        <w:t>人力资源机构全年通过人力资源服务网站向社会发布的求职信息条数。</w:t>
      </w:r>
    </w:p>
    <w:p>
      <w:pPr>
        <w:adjustRightInd w:val="0"/>
        <w:snapToGrid w:val="0"/>
        <w:spacing w:line="460" w:lineRule="exact"/>
        <w:ind w:firstLine="420" w:firstLineChars="200"/>
        <w:rPr>
          <w:rFonts w:ascii="宋体" w:hAnsi="宋体" w:cs="宋体"/>
          <w:kern w:val="0"/>
          <w:szCs w:val="21"/>
        </w:rPr>
      </w:pPr>
      <w:r>
        <w:rPr>
          <w:rFonts w:hint="eastAsia" w:ascii="黑体" w:hAnsi="黑体" w:eastAsia="黑体" w:cs="黑体"/>
          <w:bCs/>
          <w:kern w:val="0"/>
          <w:szCs w:val="21"/>
        </w:rPr>
        <w:t xml:space="preserve">服务用人单位数  </w:t>
      </w:r>
      <w:r>
        <w:rPr>
          <w:rFonts w:hint="eastAsia" w:ascii="宋体" w:hAnsi="宋体" w:cs="宋体"/>
          <w:kern w:val="0"/>
          <w:szCs w:val="21"/>
        </w:rPr>
        <w:t>指报告期末委托取得人力资源服务许可证的人力资源服务机构提供派遣服务的单位总数。</w:t>
      </w:r>
    </w:p>
    <w:p>
      <w:pPr>
        <w:adjustRightInd w:val="0"/>
        <w:snapToGrid w:val="0"/>
        <w:spacing w:line="460" w:lineRule="exact"/>
        <w:ind w:firstLine="420" w:firstLineChars="200"/>
        <w:rPr>
          <w:rFonts w:ascii="宋体" w:hAnsi="宋体" w:cs="宋体"/>
          <w:kern w:val="0"/>
          <w:szCs w:val="21"/>
        </w:rPr>
      </w:pPr>
      <w:r>
        <w:rPr>
          <w:rFonts w:hint="eastAsia" w:ascii="黑体" w:hAnsi="黑体" w:eastAsia="黑体" w:cs="黑体"/>
          <w:bCs/>
          <w:kern w:val="0"/>
          <w:szCs w:val="21"/>
        </w:rPr>
        <w:t xml:space="preserve">派遣人员总数  </w:t>
      </w:r>
      <w:r>
        <w:rPr>
          <w:rFonts w:hint="eastAsia" w:ascii="宋体" w:hAnsi="宋体" w:cs="宋体"/>
          <w:kern w:val="0"/>
          <w:szCs w:val="21"/>
        </w:rPr>
        <w:t>指报告期末人力资源服务机构实际派遣的人员数量。</w:t>
      </w:r>
    </w:p>
    <w:p>
      <w:pPr>
        <w:adjustRightInd w:val="0"/>
        <w:snapToGrid w:val="0"/>
        <w:spacing w:line="460" w:lineRule="exact"/>
        <w:ind w:firstLine="420" w:firstLineChars="200"/>
        <w:rPr>
          <w:rFonts w:ascii="宋体" w:hAnsi="宋体" w:cs="宋体"/>
          <w:kern w:val="0"/>
          <w:szCs w:val="21"/>
        </w:rPr>
      </w:pPr>
      <w:r>
        <w:rPr>
          <w:rFonts w:hint="eastAsia" w:ascii="黑体" w:hAnsi="黑体" w:eastAsia="黑体" w:cs="黑体"/>
          <w:bCs/>
          <w:szCs w:val="21"/>
        </w:rPr>
        <w:t>服务用人单位数</w:t>
      </w:r>
      <w:r>
        <w:rPr>
          <w:rFonts w:hint="eastAsia" w:ascii="宋体" w:hAnsi="宋体" w:cs="宋体"/>
          <w:kern w:val="0"/>
          <w:szCs w:val="21"/>
        </w:rPr>
        <w:t xml:space="preserve">  指报告期内人力资源服务机构，根据用人单位的相关岗位、业务、项目等人力资源需求，为用人单位提供人力资源服务外包服务的数量。</w:t>
      </w:r>
    </w:p>
    <w:p>
      <w:pPr>
        <w:adjustRightInd w:val="0"/>
        <w:snapToGrid w:val="0"/>
        <w:spacing w:line="460" w:lineRule="exact"/>
        <w:ind w:firstLine="420" w:firstLineChars="200"/>
        <w:rPr>
          <w:rFonts w:ascii="宋体" w:hAnsi="宋体" w:cs="宋体"/>
          <w:kern w:val="0"/>
          <w:szCs w:val="21"/>
        </w:rPr>
      </w:pPr>
      <w:r>
        <w:rPr>
          <w:rFonts w:hint="eastAsia" w:ascii="黑体" w:hAnsi="黑体" w:eastAsia="黑体" w:cs="黑体"/>
          <w:bCs/>
          <w:szCs w:val="21"/>
        </w:rPr>
        <w:t xml:space="preserve">外包人员总数  </w:t>
      </w:r>
      <w:r>
        <w:rPr>
          <w:rFonts w:hint="eastAsia" w:ascii="宋体" w:hAnsi="宋体" w:cs="宋体"/>
          <w:kern w:val="0"/>
          <w:szCs w:val="21"/>
        </w:rPr>
        <w:t>指报告期内人力资源服务机构，根据用人单位的相关岗位、业务、项目等人力资源需求，提供人力资源服务外包工作的人员总数。</w:t>
      </w:r>
    </w:p>
    <w:p>
      <w:pPr>
        <w:adjustRightInd w:val="0"/>
        <w:snapToGrid w:val="0"/>
        <w:spacing w:line="460" w:lineRule="exact"/>
        <w:ind w:firstLine="420" w:firstLineChars="200"/>
        <w:rPr>
          <w:rFonts w:ascii="宋体" w:hAnsi="宋体" w:cs="宋体"/>
          <w:kern w:val="0"/>
          <w:szCs w:val="21"/>
        </w:rPr>
      </w:pPr>
      <w:r>
        <w:rPr>
          <w:rFonts w:hint="eastAsia" w:ascii="黑体" w:hAnsi="黑体" w:eastAsia="黑体" w:cs="黑体"/>
          <w:bCs/>
          <w:kern w:val="0"/>
          <w:szCs w:val="21"/>
        </w:rPr>
        <w:t xml:space="preserve">服务用人单位数  </w:t>
      </w:r>
      <w:r>
        <w:rPr>
          <w:rFonts w:hint="eastAsia" w:ascii="宋体" w:hAnsi="宋体" w:cs="宋体"/>
          <w:kern w:val="0"/>
          <w:szCs w:val="21"/>
        </w:rPr>
        <w:t>指报告期内，人力资源服务市场主体根据客户要求，依据其组织目标，进行内部、外部环境调研和分析，明确人力资源管理规划和人力资源管理目标，制定人力资源管理解决方案，为用人单位提供服务的家数。</w:t>
      </w:r>
    </w:p>
    <w:p>
      <w:pPr>
        <w:adjustRightInd w:val="0"/>
        <w:snapToGrid w:val="0"/>
        <w:spacing w:line="460" w:lineRule="exact"/>
        <w:ind w:firstLine="420" w:firstLineChars="200"/>
        <w:rPr>
          <w:rFonts w:ascii="宋体" w:hAnsi="宋体" w:cs="宋体"/>
          <w:kern w:val="0"/>
          <w:szCs w:val="21"/>
        </w:rPr>
      </w:pPr>
      <w:r>
        <w:rPr>
          <w:rFonts w:hint="eastAsia" w:ascii="黑体" w:hAnsi="黑体" w:eastAsia="黑体" w:cs="黑体"/>
          <w:bCs/>
          <w:szCs w:val="21"/>
        </w:rPr>
        <w:t xml:space="preserve">举办培训班次数  </w:t>
      </w:r>
      <w:r>
        <w:rPr>
          <w:rFonts w:hint="eastAsia" w:ascii="宋体" w:hAnsi="宋体"/>
          <w:bCs/>
          <w:szCs w:val="21"/>
        </w:rPr>
        <w:t>指</w:t>
      </w:r>
      <w:r>
        <w:rPr>
          <w:rFonts w:hint="eastAsia" w:ascii="宋体" w:hAnsi="宋体" w:cs="宋体"/>
          <w:kern w:val="0"/>
          <w:szCs w:val="21"/>
        </w:rPr>
        <w:t>报告期内</w:t>
      </w:r>
      <w:r>
        <w:rPr>
          <w:rFonts w:hint="eastAsia" w:ascii="宋体" w:hAnsi="宋体"/>
          <w:bCs/>
          <w:szCs w:val="21"/>
        </w:rPr>
        <w:t>人力资源服务机构举办人力资源培训班的总次数。</w:t>
      </w:r>
    </w:p>
    <w:p>
      <w:pPr>
        <w:adjustRightInd w:val="0"/>
        <w:snapToGrid w:val="0"/>
        <w:spacing w:line="460" w:lineRule="exact"/>
        <w:ind w:firstLine="420" w:firstLineChars="200"/>
        <w:rPr>
          <w:rFonts w:ascii="宋体" w:hAnsi="宋体" w:cs="宋体"/>
          <w:kern w:val="0"/>
          <w:szCs w:val="21"/>
        </w:rPr>
      </w:pPr>
      <w:r>
        <w:rPr>
          <w:rFonts w:hint="eastAsia" w:ascii="黑体" w:hAnsi="黑体" w:eastAsia="黑体" w:cs="黑体"/>
          <w:bCs/>
          <w:szCs w:val="21"/>
        </w:rPr>
        <w:t xml:space="preserve">参加培训人次  </w:t>
      </w:r>
      <w:r>
        <w:rPr>
          <w:rFonts w:hint="eastAsia" w:ascii="宋体" w:hAnsi="宋体" w:cs="宋体"/>
          <w:kern w:val="0"/>
          <w:szCs w:val="21"/>
        </w:rPr>
        <w:t>指报告期内参加人力资源服务机构举办的培训班的总人次数。</w:t>
      </w:r>
    </w:p>
    <w:p>
      <w:pPr>
        <w:adjustRightInd w:val="0"/>
        <w:snapToGrid w:val="0"/>
        <w:spacing w:line="460" w:lineRule="exact"/>
        <w:ind w:firstLine="420" w:firstLineChars="200"/>
        <w:rPr>
          <w:rFonts w:ascii="宋体" w:hAnsi="宋体" w:cs="宋体"/>
          <w:kern w:val="0"/>
          <w:szCs w:val="21"/>
        </w:rPr>
      </w:pPr>
      <w:r>
        <w:rPr>
          <w:rFonts w:hint="eastAsia" w:ascii="黑体" w:hAnsi="黑体" w:eastAsia="黑体" w:cs="黑体"/>
          <w:bCs/>
          <w:kern w:val="0"/>
          <w:szCs w:val="21"/>
        </w:rPr>
        <w:t xml:space="preserve">测评人次  </w:t>
      </w:r>
      <w:r>
        <w:rPr>
          <w:rFonts w:hint="eastAsia" w:ascii="宋体" w:hAnsi="宋体" w:cs="宋体"/>
          <w:kern w:val="0"/>
          <w:szCs w:val="21"/>
        </w:rPr>
        <w:t>指报告期内人力资源服务机构开展人力资源测评服务被测评者的总人次数。</w:t>
      </w:r>
    </w:p>
    <w:p>
      <w:pPr>
        <w:adjustRightInd w:val="0"/>
        <w:snapToGrid w:val="0"/>
        <w:spacing w:line="460" w:lineRule="exact"/>
        <w:ind w:firstLine="420" w:firstLineChars="200"/>
        <w:rPr>
          <w:rFonts w:ascii="宋体" w:hAnsi="宋体" w:cs="宋体"/>
          <w:b/>
          <w:kern w:val="0"/>
          <w:szCs w:val="21"/>
        </w:rPr>
      </w:pPr>
      <w:r>
        <w:rPr>
          <w:rFonts w:hint="eastAsia" w:ascii="黑体" w:hAnsi="黑体" w:eastAsia="黑体" w:cs="黑体"/>
          <w:bCs/>
          <w:kern w:val="0"/>
          <w:szCs w:val="21"/>
        </w:rPr>
        <w:t xml:space="preserve">委托推荐岗位数  </w:t>
      </w:r>
      <w:r>
        <w:rPr>
          <w:rFonts w:hint="eastAsia" w:ascii="宋体" w:hAnsi="宋体" w:cs="宋体"/>
          <w:kern w:val="0"/>
          <w:szCs w:val="21"/>
        </w:rPr>
        <w:t>指报告期内，人力资源服务机构接受客户委托通过猎头服务推荐的岗位数。</w:t>
      </w:r>
    </w:p>
    <w:p>
      <w:pPr>
        <w:adjustRightInd w:val="0"/>
        <w:snapToGrid w:val="0"/>
        <w:spacing w:line="460" w:lineRule="exact"/>
        <w:ind w:firstLine="420" w:firstLineChars="200"/>
        <w:rPr>
          <w:rFonts w:ascii="宋体" w:hAnsi="宋体" w:cs="宋体"/>
          <w:kern w:val="0"/>
          <w:szCs w:val="21"/>
        </w:rPr>
      </w:pPr>
      <w:r>
        <w:rPr>
          <w:rFonts w:hint="eastAsia" w:ascii="黑体" w:hAnsi="黑体" w:eastAsia="黑体" w:cs="黑体"/>
          <w:bCs/>
          <w:kern w:val="0"/>
          <w:szCs w:val="21"/>
        </w:rPr>
        <w:t xml:space="preserve">成功推荐人才数  </w:t>
      </w:r>
      <w:r>
        <w:rPr>
          <w:rFonts w:hint="eastAsia" w:ascii="宋体" w:hAnsi="宋体" w:cs="宋体"/>
          <w:kern w:val="0"/>
          <w:szCs w:val="21"/>
        </w:rPr>
        <w:t>指报告期内，人力资源服务机构通过猎头服务推荐成功的管理和专业技术人员的人数。</w:t>
      </w:r>
    </w:p>
    <w:p>
      <w:pPr>
        <w:spacing w:line="460" w:lineRule="exact"/>
        <w:ind w:firstLine="420" w:firstLineChars="200"/>
        <w:rPr>
          <w:rFonts w:ascii="黑体" w:hAnsi="黑体" w:cs="黑体"/>
          <w:bCs/>
          <w:kern w:val="0"/>
          <w:szCs w:val="21"/>
        </w:rPr>
      </w:pPr>
      <w:r>
        <w:rPr>
          <w:rFonts w:hint="eastAsia" w:ascii="黑体" w:hAnsi="黑体" w:eastAsia="黑体" w:cs="黑体"/>
          <w:bCs/>
          <w:kern w:val="0"/>
          <w:szCs w:val="21"/>
        </w:rPr>
        <w:t xml:space="preserve">服务单位数  </w:t>
      </w:r>
      <w:r>
        <w:rPr>
          <w:rFonts w:hint="eastAsia" w:ascii="宋体" w:hAnsi="宋体" w:cs="宋体"/>
          <w:kern w:val="0"/>
          <w:szCs w:val="21"/>
        </w:rPr>
        <w:t>指报告期内，人力资源服务机构提供人力资源信息软件服务的用人单位家数。</w:t>
      </w:r>
    </w:p>
    <w:p>
      <w:pPr>
        <w:adjustRightInd w:val="0"/>
        <w:snapToGrid w:val="0"/>
        <w:spacing w:line="460" w:lineRule="exact"/>
        <w:ind w:firstLine="420" w:firstLineChars="200"/>
        <w:rPr>
          <w:rFonts w:ascii="宋体" w:hAnsi="宋体"/>
          <w:bCs/>
          <w:szCs w:val="21"/>
        </w:rPr>
      </w:pPr>
      <w:r>
        <w:rPr>
          <w:rFonts w:hint="eastAsia" w:ascii="黑体" w:hAnsi="黑体" w:eastAsia="黑体" w:cs="黑体"/>
          <w:bCs/>
          <w:kern w:val="0"/>
          <w:szCs w:val="21"/>
        </w:rPr>
        <w:t xml:space="preserve">现存档案数量  </w:t>
      </w:r>
      <w:r>
        <w:rPr>
          <w:rFonts w:hint="eastAsia" w:ascii="宋体" w:hAnsi="宋体"/>
          <w:bCs/>
          <w:szCs w:val="21"/>
        </w:rPr>
        <w:t>指</w:t>
      </w:r>
      <w:r>
        <w:rPr>
          <w:rFonts w:hint="eastAsia" w:ascii="宋体" w:hAnsi="宋体" w:cs="宋体"/>
          <w:kern w:val="0"/>
          <w:szCs w:val="21"/>
        </w:rPr>
        <w:t>报告期末</w:t>
      </w:r>
      <w:r>
        <w:rPr>
          <w:rFonts w:hint="eastAsia" w:ascii="宋体" w:hAnsi="宋体"/>
          <w:bCs/>
          <w:szCs w:val="21"/>
        </w:rPr>
        <w:t>具有流动人员人事档案管理权限的人力资源服务机构所管理的流动人员人事档案的现存数量。</w:t>
      </w:r>
    </w:p>
    <w:p>
      <w:pPr>
        <w:adjustRightInd w:val="0"/>
        <w:snapToGrid w:val="0"/>
        <w:spacing w:line="400" w:lineRule="exact"/>
        <w:ind w:firstLine="420" w:firstLineChars="200"/>
        <w:rPr>
          <w:rFonts w:ascii="宋体" w:hAnsi="宋体"/>
          <w:bCs/>
          <w:szCs w:val="21"/>
        </w:rPr>
      </w:pPr>
      <w:r>
        <w:rPr>
          <w:rFonts w:hint="eastAsia" w:ascii="黑体" w:hAnsi="黑体" w:eastAsia="黑体" w:cs="黑体"/>
          <w:bCs/>
          <w:szCs w:val="21"/>
        </w:rPr>
        <w:t xml:space="preserve">依托档案提供服务次数  </w:t>
      </w:r>
      <w:r>
        <w:rPr>
          <w:rFonts w:hint="eastAsia" w:ascii="宋体" w:hAnsi="宋体"/>
          <w:bCs/>
          <w:szCs w:val="21"/>
        </w:rPr>
        <w:t>指</w:t>
      </w:r>
      <w:r>
        <w:rPr>
          <w:rFonts w:hint="eastAsia" w:ascii="宋体" w:hAnsi="宋体" w:cs="宋体"/>
          <w:kern w:val="0"/>
          <w:szCs w:val="21"/>
        </w:rPr>
        <w:t>报告期内</w:t>
      </w:r>
      <w:r>
        <w:rPr>
          <w:rFonts w:hint="eastAsia" w:ascii="宋体" w:hAnsi="宋体"/>
          <w:bCs/>
          <w:szCs w:val="21"/>
        </w:rPr>
        <w:t>开展以流动人员人事档案为依托的相关服务的人次数。</w:t>
      </w:r>
    </w:p>
    <w:p>
      <w:pPr>
        <w:rPr>
          <w:rFonts w:hint="eastAsia" w:ascii="宋体" w:hAnsi="宋体"/>
          <w:b/>
          <w:bCs/>
        </w:rPr>
      </w:pPr>
    </w:p>
    <w:p>
      <w:pPr>
        <w:rPr>
          <w:rFonts w:hint="eastAsia" w:ascii="宋体" w:hAnsi="宋体"/>
          <w:b/>
          <w:bCs/>
        </w:rPr>
      </w:pPr>
    </w:p>
    <w:p>
      <w:r>
        <w:rPr>
          <w:rFonts w:hint="eastAsia" w:ascii="Times New Roman" w:hAnsi="Times New Roman" w:eastAsia="仿宋_GB2312" w:cs="仿宋_GB2312"/>
          <w:sz w:val="32"/>
          <w:szCs w:val="40"/>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0B715B"/>
    <w:rsid w:val="390B7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2022-01-07T02:44:00Z</dcterms:created>
  <dc:creator>小铃铛</dc:creator>
  <cp:lastModifiedBy>小铃铛</cp:lastModifiedBy>
  <dcterms:modified xsi:type="dcterms:W3CDTF">2022-01-07T02:45:07Z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A8F43A33897247A59656CAF96957BE38</vt:lpwstr>
  </property>
</Properties>
</file>